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F1697" w:rsidRPr="00055ECC" w:rsidRDefault="000F1697" w:rsidP="000F169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C507C7" w:rsidRPr="00C507C7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C42C6D" w:rsidRPr="00766299" w:rsidRDefault="00C42C6D" w:rsidP="00C42C6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66299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766299">
        <w:rPr>
          <w:rFonts w:ascii="Times New Roman" w:hAnsi="Times New Roman"/>
          <w:sz w:val="24"/>
          <w:szCs w:val="24"/>
        </w:rPr>
        <w:t>н</w:t>
      </w:r>
      <w:proofErr w:type="spellEnd"/>
      <w:r w:rsidRPr="00766299">
        <w:rPr>
          <w:rFonts w:ascii="Times New Roman" w:hAnsi="Times New Roman"/>
          <w:sz w:val="24"/>
          <w:szCs w:val="24"/>
        </w:rPr>
        <w:t xml:space="preserve"> от </w:t>
      </w:r>
      <w:r w:rsidR="00C507C7">
        <w:rPr>
          <w:rFonts w:ascii="Times New Roman" w:hAnsi="Times New Roman"/>
          <w:sz w:val="24"/>
          <w:szCs w:val="24"/>
        </w:rPr>
        <w:t>29</w:t>
      </w:r>
      <w:r w:rsidRPr="00A37A71">
        <w:rPr>
          <w:rFonts w:ascii="Times New Roman" w:hAnsi="Times New Roman"/>
          <w:sz w:val="24"/>
          <w:szCs w:val="24"/>
        </w:rPr>
        <w:t>.06.2017г.</w:t>
      </w:r>
    </w:p>
    <w:p w:rsidR="00EF182A" w:rsidRPr="001476CF" w:rsidRDefault="00EF182A" w:rsidP="00EF18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1476CF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EF182A" w:rsidRPr="001476CF" w:rsidRDefault="00EF182A" w:rsidP="00EF182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EF182A" w:rsidRDefault="00EF182A" w:rsidP="00EF182A">
      <w:pPr>
        <w:ind w:left="5812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76CF">
        <w:rPr>
          <w:rFonts w:ascii="Times New Roman" w:hAnsi="Times New Roman" w:cs="Times New Roman"/>
          <w:bCs/>
          <w:sz w:val="24"/>
          <w:szCs w:val="24"/>
        </w:rPr>
        <w:t>Протокол № б/</w:t>
      </w:r>
      <w:proofErr w:type="spellStart"/>
      <w:r w:rsidRPr="001476C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1476C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2A3AAA" w:rsidRDefault="002A3AAA" w:rsidP="002A3AA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2A3AAA" w:rsidRDefault="002A3AAA" w:rsidP="002A3AAA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2A3AAA" w:rsidRDefault="002A3AAA" w:rsidP="002A3AA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17.12.2019г.</w:t>
      </w:r>
    </w:p>
    <w:p w:rsidR="002A3AAA" w:rsidRPr="001476CF" w:rsidRDefault="002A3AAA" w:rsidP="00EF182A">
      <w:pPr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</w:p>
    <w:p w:rsidR="00012D02" w:rsidRPr="0076629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6629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76629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76629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4455EB" w:rsidRPr="004455EB">
        <w:rPr>
          <w:rFonts w:ascii="Times New Roman" w:hAnsi="Times New Roman" w:cs="Times New Roman"/>
          <w:b/>
          <w:sz w:val="32"/>
          <w:szCs w:val="32"/>
        </w:rPr>
        <w:t xml:space="preserve">инженеров-изыскателей </w:t>
      </w:r>
      <w:r w:rsidR="00C507C7" w:rsidRPr="00C507C7">
        <w:rPr>
          <w:rFonts w:ascii="Times New Roman" w:hAnsi="Times New Roman" w:cs="Times New Roman"/>
          <w:b/>
          <w:sz w:val="32"/>
          <w:szCs w:val="32"/>
        </w:rPr>
        <w:t>«Инженерная подготовка нефтегазовых комплексов</w:t>
      </w:r>
      <w:r w:rsidR="00E85715" w:rsidRPr="00766299">
        <w:rPr>
          <w:rFonts w:ascii="Times New Roman" w:hAnsi="Times New Roman"/>
          <w:b/>
          <w:sz w:val="32"/>
          <w:szCs w:val="32"/>
        </w:rPr>
        <w:t>»</w:t>
      </w:r>
      <w:r w:rsidR="00362A48" w:rsidRPr="0076629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76629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F1697" w:rsidRPr="00766299" w:rsidRDefault="000F1697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17021" w:rsidRPr="0076629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629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76629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7662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76629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76629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455EB" w:rsidRPr="004455EB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="00C507C7" w:rsidRPr="00C507C7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="00E85715" w:rsidRPr="007662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76629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76629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76629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7662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7662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76629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76629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- договор о </w:t>
      </w:r>
      <w:r w:rsidR="00252627" w:rsidRPr="00766299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="004720DD" w:rsidRPr="00766299">
        <w:rPr>
          <w:rFonts w:ascii="Times New Roman" w:eastAsia="Times New Roman" w:hAnsi="Times New Roman" w:cs="Times New Roman"/>
          <w:sz w:val="24"/>
          <w:szCs w:val="24"/>
        </w:rPr>
        <w:t>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76629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6C04FB" w:rsidRPr="0076629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3.7. 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7662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76629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766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76629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76629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76629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76629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76629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76629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подряда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76629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76629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76629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76629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76629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76629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76629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с даты вступления в силу решения о его приеме в СРО.</w:t>
      </w:r>
    </w:p>
    <w:p w:rsidR="00603A37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76629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766299">
        <w:rPr>
          <w:rFonts w:ascii="Times New Roman" w:eastAsia="Times New Roman" w:hAnsi="Times New Roman" w:cs="Times New Roman"/>
          <w:sz w:val="24"/>
          <w:szCs w:val="24"/>
        </w:rPr>
        <w:t>в срок до 1 марта календарного года, следующего за отчетным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76629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го года, следующего за отчетным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76629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76629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76629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заключении договоров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613ABB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76629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76629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76629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76629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7662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76629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76629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76629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5.6. 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20E29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52B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таким лицом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</w:t>
      </w:r>
    </w:p>
    <w:p w:rsidR="00835555" w:rsidRPr="00835555" w:rsidRDefault="00835555" w:rsidP="0083555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835555">
        <w:rPr>
          <w:rFonts w:ascii="Times New Roman" w:eastAsia="Times New Roman" w:hAnsi="Times New Roman" w:cs="Times New Roman"/>
          <w:b w:val="0"/>
        </w:rPr>
        <w:t>5.7.  Порядок уведомления Ассоциации членом Ассоциации о фактическом совокупном размере обязательств по договорам подряда на выполнение инженерных изысканий, заключенным членом Ассоциации в течение отчетного года с использованием конкурентных способов заключения договоров должен учитывать требования приказа Минстроя России от 10 апреля 2017 года № 700/</w:t>
      </w:r>
      <w:proofErr w:type="spellStart"/>
      <w:r w:rsidRPr="00835555">
        <w:rPr>
          <w:rFonts w:ascii="Times New Roman" w:eastAsia="Times New Roman" w:hAnsi="Times New Roman" w:cs="Times New Roman"/>
          <w:b w:val="0"/>
        </w:rPr>
        <w:t>пр</w:t>
      </w:r>
      <w:proofErr w:type="spellEnd"/>
      <w:r w:rsidRPr="00835555">
        <w:rPr>
          <w:rFonts w:ascii="Times New Roman" w:eastAsia="Times New Roman" w:hAnsi="Times New Roman" w:cs="Times New Roman"/>
          <w:b w:val="0"/>
        </w:rPr>
        <w:t xml:space="preserve"> «</w:t>
      </w:r>
      <w:r w:rsidRPr="00835555">
        <w:rPr>
          <w:rFonts w:ascii="Times New Roman" w:hAnsi="Times New Roman" w:cs="Times New Roman"/>
          <w:b w:val="0"/>
        </w:rPr>
        <w:t xml:space="preserve">Об утверждении Порядка уведомления </w:t>
      </w:r>
      <w:proofErr w:type="spellStart"/>
      <w:r w:rsidRPr="00835555">
        <w:rPr>
          <w:rFonts w:ascii="Times New Roman" w:hAnsi="Times New Roman" w:cs="Times New Roman"/>
          <w:b w:val="0"/>
        </w:rPr>
        <w:t>саморегулируемой</w:t>
      </w:r>
      <w:proofErr w:type="spellEnd"/>
      <w:r w:rsidRPr="00835555">
        <w:rPr>
          <w:rFonts w:ascii="Times New Roman" w:hAnsi="Times New Roman" w:cs="Times New Roman"/>
          <w:b w:val="0"/>
        </w:rPr>
        <w:t xml:space="preserve"> организации, основанной на членстве лиц, выполняющих инженерные изыскания, </w:t>
      </w:r>
      <w:proofErr w:type="spellStart"/>
      <w:r w:rsidRPr="00835555">
        <w:rPr>
          <w:rFonts w:ascii="Times New Roman" w:hAnsi="Times New Roman" w:cs="Times New Roman"/>
          <w:b w:val="0"/>
        </w:rPr>
        <w:t>саморегулируемой</w:t>
      </w:r>
      <w:proofErr w:type="spellEnd"/>
      <w:r w:rsidRPr="00835555">
        <w:rPr>
          <w:rFonts w:ascii="Times New Roman" w:hAnsi="Times New Roman" w:cs="Times New Roman"/>
          <w:b w:val="0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 w:rsidRPr="00835555">
        <w:rPr>
          <w:rFonts w:ascii="Times New Roman" w:hAnsi="Times New Roman" w:cs="Times New Roman"/>
          <w:b w:val="0"/>
        </w:rPr>
        <w:t>саморегулируемой</w:t>
      </w:r>
      <w:proofErr w:type="spellEnd"/>
      <w:r w:rsidRPr="00835555">
        <w:rPr>
          <w:rFonts w:ascii="Times New Roman" w:hAnsi="Times New Roman" w:cs="Times New Roman"/>
          <w:b w:val="0"/>
        </w:rPr>
        <w:t xml:space="preserve"> организации, основанной на членстве лиц, осуществляющих строительство, членом указанной </w:t>
      </w:r>
      <w:proofErr w:type="spellStart"/>
      <w:r w:rsidRPr="00835555">
        <w:rPr>
          <w:rFonts w:ascii="Times New Roman" w:hAnsi="Times New Roman" w:cs="Times New Roman"/>
          <w:b w:val="0"/>
        </w:rPr>
        <w:t>саморегулируемой</w:t>
      </w:r>
      <w:proofErr w:type="spellEnd"/>
      <w:r w:rsidRPr="00835555">
        <w:rPr>
          <w:rFonts w:ascii="Times New Roman" w:hAnsi="Times New Roman" w:cs="Times New Roman"/>
          <w:b w:val="0"/>
        </w:rP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договоров», а именно:</w:t>
      </w:r>
    </w:p>
    <w:p w:rsidR="00835555" w:rsidRPr="00835555" w:rsidRDefault="00835555" w:rsidP="0083555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Уведомление представляется членами Ассоциации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2. Член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организации, который выполняет работы по договорам, обязан ежегодно представлять уведомление в Ассоциацию о фактическом совокупном размере обязательств по таким договорам (далее - уведомление) в срок не позднее 1 марта года, следующего за отчетным.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3. В целях определения фактического совокупного размера обязательств члена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по договорам используется сумма цен по всем таким договорам, действующим на дату ее определения.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4. Уведомление должно содержать: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а) сведения о являющемся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организации);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б) сведения о фактическом совокупном размере обязательств по договорам по состоянию на 1 января отчетного года </w:t>
      </w:r>
      <w:hyperlink r:id="rId8" w:anchor="Par78" w:tooltip="&lt;*&gt; Учитываются обязательства по договорам в рамках:" w:history="1">
        <w:r w:rsidRPr="00835555">
          <w:rPr>
            <w:rStyle w:val="aff0"/>
          </w:rPr>
          <w:t>&lt;*&gt;</w:t>
        </w:r>
      </w:hyperlink>
      <w:r w:rsidRPr="00835555">
        <w:t>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в) сведения о фактическом совокупном размере обязательств по договорам, которые были заключены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в течение отчетного года </w:t>
      </w:r>
      <w:hyperlink r:id="rId9" w:anchor="Par78" w:tooltip="&lt;*&gt; Учитываются обязательства по договорам в рамках:" w:history="1">
        <w:r w:rsidRPr="00835555">
          <w:rPr>
            <w:rStyle w:val="aff0"/>
          </w:rPr>
          <w:t>&lt;*&gt;</w:t>
        </w:r>
      </w:hyperlink>
      <w:r w:rsidRPr="00835555">
        <w:t>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г) сведения о фактическом совокупном размере обязательств по договорам и </w:t>
      </w:r>
      <w:r w:rsidRPr="00835555">
        <w:lastRenderedPageBreak/>
        <w:t xml:space="preserve">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r:id="rId10" w:anchor="Par78" w:tooltip="&lt;*&gt; Учитываются обязательства по договорам в рамках:" w:history="1">
        <w:r w:rsidRPr="00835555">
          <w:rPr>
            <w:rStyle w:val="aff0"/>
          </w:rPr>
          <w:t>&lt;*&gt;</w:t>
        </w:r>
      </w:hyperlink>
      <w:r w:rsidRPr="00835555">
        <w:t>;</w:t>
      </w:r>
    </w:p>
    <w:p w:rsidR="00835555" w:rsidRPr="00835555" w:rsidRDefault="00835555" w:rsidP="00835555">
      <w:pPr>
        <w:pStyle w:val="ConsPlusNormal"/>
        <w:ind w:firstLine="567"/>
        <w:jc w:val="both"/>
      </w:pPr>
      <w:proofErr w:type="spellStart"/>
      <w:r w:rsidRPr="00835555">
        <w:t>д</w:t>
      </w:r>
      <w:proofErr w:type="spellEnd"/>
      <w:r w:rsidRPr="00835555">
        <w:t xml:space="preserve">) сведения о фактическом совокупном размере обязательств по всем договорам, которые заключены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и исполнение которых на 31 декабря отчетного года не завершено </w:t>
      </w:r>
      <w:hyperlink r:id="rId11" w:anchor="Par78" w:tooltip="&lt;*&gt; Учитываются обязательства по договорам в рамках:" w:history="1">
        <w:r w:rsidRPr="00835555">
          <w:rPr>
            <w:rStyle w:val="aff0"/>
          </w:rPr>
          <w:t>&lt;*&gt;</w:t>
        </w:r>
      </w:hyperlink>
      <w:r w:rsidRPr="00835555">
        <w:t>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--------------------------------</w:t>
      </w:r>
    </w:p>
    <w:p w:rsidR="00835555" w:rsidRPr="00835555" w:rsidRDefault="00835555" w:rsidP="00835555">
      <w:pPr>
        <w:pStyle w:val="ConsPlusNormal"/>
        <w:ind w:firstLine="567"/>
        <w:jc w:val="both"/>
      </w:pPr>
      <w:bookmarkStart w:id="5" w:name="Par78"/>
      <w:bookmarkEnd w:id="5"/>
      <w:r w:rsidRPr="00835555">
        <w:t>&lt;*&gt; Учитываются обязательства по договорам в рамках: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а) совокупный размер обязательств по договорам, которые были заключены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в течение отчетного года;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>б) совокупный размер обязательств по договорам, которые были прекращены в течение отчетного года;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в) совокупный размер обязательств по всем договорам, которые заключены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и исполнение которых на 31 декабря отчетного года не завершено.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Член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вправе не представлять в </w:t>
      </w:r>
      <w:proofErr w:type="spellStart"/>
      <w:r w:rsidRPr="00835555">
        <w:t>саморегулируемую</w:t>
      </w:r>
      <w:proofErr w:type="spellEnd"/>
      <w:r w:rsidRPr="00835555">
        <w:t xml:space="preserve"> организацию документы, в которых содержится информация, размещаемая в форме открытых данных.</w:t>
      </w:r>
    </w:p>
    <w:p w:rsidR="00835555" w:rsidRPr="00835555" w:rsidRDefault="00835555" w:rsidP="00835555">
      <w:pPr>
        <w:pStyle w:val="ConsPlusNormal"/>
        <w:ind w:firstLine="567"/>
        <w:jc w:val="both"/>
      </w:pPr>
      <w:r w:rsidRPr="00835555">
        <w:t xml:space="preserve">6. Уведомление представляется членом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 непосредственно в </w:t>
      </w:r>
      <w:proofErr w:type="spellStart"/>
      <w:r w:rsidRPr="00835555">
        <w:t>саморегулируемую</w:t>
      </w:r>
      <w:proofErr w:type="spellEnd"/>
      <w:r w:rsidRPr="00835555"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835555" w:rsidRDefault="00835555" w:rsidP="00835555">
      <w:pPr>
        <w:pStyle w:val="ConsPlusNormal"/>
        <w:ind w:firstLine="567"/>
        <w:jc w:val="both"/>
      </w:pPr>
      <w:r w:rsidRPr="00835555">
        <w:t xml:space="preserve">В случае представления уведомления непосредственно в </w:t>
      </w:r>
      <w:proofErr w:type="spellStart"/>
      <w:r w:rsidRPr="00835555">
        <w:t>саморегулируемую</w:t>
      </w:r>
      <w:proofErr w:type="spellEnd"/>
      <w:r w:rsidRPr="00835555">
        <w:t xml:space="preserve"> </w:t>
      </w:r>
      <w:r w:rsidRPr="00835555">
        <w:lastRenderedPageBreak/>
        <w:t xml:space="preserve">организацию, а также при направлении уведомления в виде электронного документа днем его подачи считается день регистрации уведомления в </w:t>
      </w:r>
      <w:proofErr w:type="spellStart"/>
      <w:r w:rsidRPr="00835555">
        <w:t>саморегулируемой</w:t>
      </w:r>
      <w:proofErr w:type="spellEnd"/>
      <w:r w:rsidRPr="00835555">
        <w:t xml:space="preserve"> организации. При направлении уведомления по почте днем его подачи считается день отправки почтового отправления.</w:t>
      </w:r>
    </w:p>
    <w:p w:rsidR="00E74F58" w:rsidRPr="00766299" w:rsidRDefault="00E74F58" w:rsidP="00835555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29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76629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6"/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7662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76629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76629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76629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76629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76629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76629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7662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76629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76629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76629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76629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76629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 освобождено от обязанности предостав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766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76629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76629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>- наименование специальности профессионального образования работника</w:t>
      </w:r>
      <w:r w:rsidR="00AA37F8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76629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76629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Pr="00766299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76629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766299">
        <w:rPr>
          <w:rFonts w:ascii="Times New Roman" w:eastAsia="Times New Roman" w:hAnsi="Times New Roman" w:cs="Times New Roman"/>
          <w:sz w:val="24"/>
          <w:szCs w:val="24"/>
        </w:rPr>
        <w:t xml:space="preserve">нной базы данных СРО. </w:t>
      </w:r>
    </w:p>
    <w:p w:rsidR="00D306E9" w:rsidRPr="00766299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0"/>
      <w:r w:rsidRPr="0076629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76629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7"/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76629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76629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76629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1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8"/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76629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7662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76629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7662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76629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8.8. Результаты анализа 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76629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76629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76629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контроля за деятельностью членов СРО (или по запросу сведений) по отдельным </w:t>
      </w:r>
      <w:r w:rsidR="00B1521D" w:rsidRPr="0076629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76629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76629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76629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76629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76629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64817332"/>
    </w:p>
    <w:p w:rsidR="00C13212" w:rsidRPr="0076629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76629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9"/>
    </w:p>
    <w:p w:rsidR="00C13212" w:rsidRPr="0076629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76629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76629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C13212" w:rsidRPr="0076629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766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76629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76629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76629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bookmarkStart w:id="10" w:name="_Toc464817333"/>
      <w:r w:rsidR="00C14E65" w:rsidRPr="0076629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76629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766299">
        <w:rPr>
          <w:rFonts w:ascii="Times New Roman" w:hAnsi="Times New Roman" w:cs="Times New Roman"/>
          <w:sz w:val="20"/>
          <w:szCs w:val="20"/>
        </w:rPr>
        <w:t>1</w:t>
      </w:r>
      <w:r w:rsidR="00476D30" w:rsidRPr="00766299">
        <w:rPr>
          <w:rFonts w:ascii="Times New Roman" w:hAnsi="Times New Roman" w:cs="Times New Roman"/>
          <w:sz w:val="20"/>
          <w:szCs w:val="20"/>
        </w:rPr>
        <w:br/>
      </w:r>
      <w:r w:rsidR="00B50387" w:rsidRPr="00766299">
        <w:rPr>
          <w:rFonts w:ascii="Times New Roman" w:hAnsi="Times New Roman" w:cs="Times New Roman"/>
          <w:sz w:val="20"/>
          <w:szCs w:val="20"/>
        </w:rPr>
        <w:t>к П</w:t>
      </w:r>
      <w:r w:rsidR="001E070D" w:rsidRPr="0076629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76629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10"/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76629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76629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76629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76629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76629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76629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76629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</w:t>
            </w:r>
            <w:r w:rsidR="00C96EF7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выполняющего инженерные изыскания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632A9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76629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76629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изысканий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C13212" w:rsidRPr="0076629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напрямую с застройщиком (техническим заказчиком</w:t>
            </w:r>
            <w:r w:rsidR="002632A9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76629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</w:t>
            </w:r>
            <w:r w:rsidR="008B452B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  <w:r w:rsidR="000405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 с генеральным подрядчиком</w:t>
            </w:r>
          </w:p>
          <w:p w:rsidR="00C13212" w:rsidRPr="0076629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реализации каких видов строительных проектов участвует Ваша организация</w:t>
            </w:r>
          </w:p>
          <w:p w:rsidR="00C42C6D" w:rsidRPr="00766299" w:rsidRDefault="00C42C6D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6D" w:rsidRPr="00766299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54" w:rsidRPr="00766299" w:rsidRDefault="000D0754" w:rsidP="00C42C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C42C6D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выполнению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C42C6D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по 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выполнению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</w:t>
            </w:r>
            <w:r w:rsidR="00C42C6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D12513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0E29"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76629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76629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76629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76629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76629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   </w:t>
      </w:r>
      <w:r w:rsidRPr="0076629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766299">
        <w:rPr>
          <w:rFonts w:ascii="Times New Roman" w:hAnsi="Times New Roman" w:cs="Times New Roman"/>
          <w:sz w:val="20"/>
          <w:szCs w:val="20"/>
        </w:rPr>
        <w:t>______</w:t>
      </w:r>
      <w:r w:rsidR="00E10D00" w:rsidRPr="0076629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76629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76629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76629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766299" w:rsidSect="00012D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76629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766299">
        <w:rPr>
          <w:rFonts w:ascii="Times New Roman" w:hAnsi="Times New Roman" w:cs="Times New Roman"/>
          <w:sz w:val="20"/>
          <w:szCs w:val="20"/>
        </w:rPr>
        <w:t xml:space="preserve"> </w:t>
      </w:r>
      <w:r w:rsidRPr="0076629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76629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76629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76629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04056D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76629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76629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9609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092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76629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76629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C13212" w:rsidRPr="0076629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76629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76629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76629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>а 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76629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0DA" w:rsidRPr="00766299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E5443C" w:rsidRPr="00766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76629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76629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76629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76629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76629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76629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76629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76629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76629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766299" w:rsidRDefault="00C96092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092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76629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76629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76629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76629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76629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76629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76629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76629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76629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76629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76629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76629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766299" w:rsidRDefault="00C96092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092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76629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:rsidR="000A18D4" w:rsidRPr="0076629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76629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инженерных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76629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76629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76629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76629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76629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</w:p>
          <w:p w:rsidR="00C1098E" w:rsidRPr="00766299" w:rsidRDefault="009520DA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76629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66299">
        <w:rPr>
          <w:rFonts w:ascii="Times New Roman" w:hAnsi="Times New Roman" w:cs="Times New Roman"/>
          <w:sz w:val="20"/>
          <w:szCs w:val="20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76629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76629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76629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7662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766299" w:rsidRDefault="00C96092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609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76629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76629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766299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</w:t>
      </w:r>
      <w:r w:rsidR="00A97326" w:rsidRPr="00AD6F22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="00A9732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766299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76629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76629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sz w:val="20"/>
          <w:szCs w:val="20"/>
        </w:rPr>
        <w:t>нженерные изысканий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аттестации, </w:t>
      </w:r>
      <w:r w:rsidR="00D7436E" w:rsidRPr="00766299">
        <w:rPr>
          <w:rFonts w:ascii="Times New Roman" w:eastAsia="Times New Roman" w:hAnsi="Times New Roman" w:cs="Times New Roman"/>
          <w:sz w:val="20"/>
          <w:szCs w:val="20"/>
        </w:rPr>
        <w:lastRenderedPageBreak/>
        <w:t>выданных по таким правилам.</w:t>
      </w:r>
      <w:r w:rsidR="00A312F3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766299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76629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629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76629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76629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76629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</w:rPr>
        <w:t>6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76629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</w:rPr>
        <w:t xml:space="preserve">о работах по </w:t>
      </w:r>
      <w:r w:rsidR="00FA5852" w:rsidRPr="0076629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9520DA" w:rsidRPr="00766299">
        <w:rPr>
          <w:rFonts w:ascii="Times New Roman" w:eastAsia="Times New Roman" w:hAnsi="Times New Roman" w:cs="Times New Roman"/>
          <w:b/>
          <w:sz w:val="20"/>
          <w:szCs w:val="20"/>
        </w:rPr>
        <w:t>нженерным изысканиям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76629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76629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766299" w:rsidRDefault="00343E96" w:rsidP="00766299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указание на заключение с использованием конкурентных способов заключения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76629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76629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76629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76629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766299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766299">
              <w:rPr>
                <w:rFonts w:ascii="Times New Roman" w:eastAsia="Times New Roman" w:hAnsi="Times New Roman" w:cs="Times New Roman"/>
                <w:b/>
                <w:bCs/>
              </w:rPr>
              <w:t>отовность объекта согласно календарного плана, размер выполнения от стоимости договора</w:t>
            </w:r>
          </w:p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76629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76629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6629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6629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7662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</w:t>
      </w:r>
      <w:r w:rsidRPr="00766299">
        <w:rPr>
          <w:rFonts w:ascii="Times New Roman" w:eastAsia="Times New Roman" w:hAnsi="Times New Roman" w:cs="Times New Roman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757728" w:rsidRPr="0076629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hAnsi="Times New Roman" w:cs="Times New Roman"/>
        </w:rPr>
        <w:br w:type="textWrapping" w:clear="all"/>
      </w:r>
      <w:r w:rsidR="00757728"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  </w:t>
      </w:r>
      <w:r w:rsidRPr="0076629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76629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766299">
        <w:rPr>
          <w:rFonts w:ascii="Times New Roman" w:eastAsia="Times New Roman" w:hAnsi="Times New Roman" w:cs="Times New Roman"/>
        </w:rPr>
        <w:t xml:space="preserve">    Телефон:</w:t>
      </w:r>
      <w:r w:rsidR="00B6488F" w:rsidRPr="00766299">
        <w:rPr>
          <w:rFonts w:ascii="Times New Roman" w:eastAsia="Times New Roman" w:hAnsi="Times New Roman" w:cs="Times New Roman"/>
        </w:rPr>
        <w:t xml:space="preserve"> </w:t>
      </w:r>
      <w:r w:rsidR="001D6390" w:rsidRPr="00766299">
        <w:rPr>
          <w:rFonts w:ascii="Times New Roman" w:eastAsia="Times New Roman" w:hAnsi="Times New Roman" w:cs="Times New Roman"/>
        </w:rPr>
        <w:t>______________________</w:t>
      </w:r>
      <w:r w:rsidRPr="0076629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76629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</w:rPr>
        <w:t xml:space="preserve">                                     </w:t>
      </w:r>
      <w:r w:rsidRPr="0076629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76629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299" w:rsidRPr="00766299">
        <w:rPr>
          <w:rFonts w:ascii="Times New Roman" w:eastAsia="Times New Roman" w:hAnsi="Times New Roman" w:cs="Times New Roman"/>
          <w:b/>
          <w:sz w:val="24"/>
          <w:szCs w:val="24"/>
        </w:rPr>
        <w:t>работ по инженерным</w:t>
      </w:r>
      <w:r w:rsidR="009520DA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изысканий</w:t>
      </w: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по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76629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76629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6629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92" w:rsidRPr="00C96092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76629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766299" w:rsidSect="00A95D91">
          <w:headerReference w:type="default" r:id="rId18"/>
          <w:headerReference w:type="first" r:id="rId19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76629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76629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76629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766299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82A7B" w:rsidRPr="00766299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76629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76629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6629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76629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92" w:rsidRPr="00C96092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76629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76629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7662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76629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76629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76629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76629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76629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76629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76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76629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76629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76629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6629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76629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76629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76629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76629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766299" w:rsidRDefault="00C9609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92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76629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76629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299" w:rsidRPr="00766299" w:rsidRDefault="001E070D" w:rsidP="0076629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3212" w:rsidRPr="0076629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6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82A7B" w:rsidRPr="0076629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76629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выполнение инженерных изысканий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76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76629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76629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76629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76629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6299">
        <w:rPr>
          <w:rFonts w:ascii="Times New Roman" w:hAnsi="Times New Roman" w:cs="Times New Roman"/>
          <w:sz w:val="24"/>
          <w:szCs w:val="24"/>
        </w:rPr>
        <w:t>«__» ____________ 20__ г.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76629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6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9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766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9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76629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76629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766299">
        <w:rPr>
          <w:rFonts w:ascii="Times New Roman" w:eastAsia="Times New Roman" w:hAnsi="Times New Roman" w:cs="Times New Roman"/>
          <w:bCs/>
        </w:rPr>
        <w:t>Раздел</w:t>
      </w:r>
      <w:r w:rsidR="00336735" w:rsidRPr="00766299">
        <w:rPr>
          <w:rFonts w:ascii="Times New Roman" w:eastAsia="Times New Roman" w:hAnsi="Times New Roman" w:cs="Times New Roman"/>
          <w:bCs/>
        </w:rPr>
        <w:t xml:space="preserve"> № 1</w:t>
      </w:r>
      <w:r w:rsidR="008E61A0" w:rsidRPr="00766299">
        <w:rPr>
          <w:rFonts w:ascii="Times New Roman" w:eastAsia="Times New Roman" w:hAnsi="Times New Roman" w:cs="Times New Roman"/>
          <w:bCs/>
        </w:rPr>
        <w:t>1</w:t>
      </w:r>
    </w:p>
    <w:p w:rsidR="00C13212" w:rsidRPr="0076629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6629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76629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>Сведения</w:t>
      </w:r>
      <w:r w:rsidR="000A26AE" w:rsidRPr="00766299">
        <w:rPr>
          <w:rFonts w:ascii="Times New Roman" w:eastAsia="Times New Roman" w:hAnsi="Times New Roman" w:cs="Times New Roman"/>
          <w:b/>
        </w:rPr>
        <w:t>*</w:t>
      </w:r>
      <w:r w:rsidRPr="0076629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766299">
        <w:rPr>
          <w:rFonts w:ascii="Times New Roman" w:eastAsia="Times New Roman" w:hAnsi="Times New Roman" w:cs="Times New Roman"/>
          <w:b/>
        </w:rPr>
        <w:t>работ</w:t>
      </w:r>
      <w:r w:rsidR="000A26AE" w:rsidRPr="00766299">
        <w:rPr>
          <w:rFonts w:ascii="Times New Roman" w:eastAsia="Times New Roman" w:hAnsi="Times New Roman" w:cs="Times New Roman"/>
          <w:b/>
        </w:rPr>
        <w:t xml:space="preserve"> </w:t>
      </w:r>
      <w:r w:rsidR="00320E29" w:rsidRPr="00766299">
        <w:rPr>
          <w:rFonts w:ascii="Times New Roman" w:eastAsia="Times New Roman" w:hAnsi="Times New Roman" w:cs="Times New Roman"/>
          <w:b/>
          <w:sz w:val="24"/>
          <w:szCs w:val="24"/>
        </w:rPr>
        <w:t>по и</w:t>
      </w:r>
      <w:r w:rsidR="00182A7B" w:rsidRPr="00766299">
        <w:rPr>
          <w:rFonts w:ascii="Times New Roman" w:eastAsia="Times New Roman" w:hAnsi="Times New Roman" w:cs="Times New Roman"/>
          <w:b/>
          <w:sz w:val="24"/>
          <w:szCs w:val="24"/>
        </w:rPr>
        <w:t>нженерным изысканиям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Приложить копии договоро</w:t>
      </w:r>
      <w:r w:rsidR="00A97326">
        <w:rPr>
          <w:rFonts w:ascii="Times New Roman" w:eastAsia="Times New Roman" w:hAnsi="Times New Roman" w:cs="Times New Roman"/>
        </w:rPr>
        <w:t>в аренды (субаренды)</w:t>
      </w:r>
      <w:r w:rsidR="00336735" w:rsidRPr="0076629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76629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629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766299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76629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29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76629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6629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76629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* </w:t>
      </w:r>
      <w:r w:rsidR="00336735" w:rsidRPr="00766299">
        <w:rPr>
          <w:rFonts w:ascii="Times New Roman" w:eastAsia="Times New Roman" w:hAnsi="Times New Roman" w:cs="Times New Roman"/>
        </w:rPr>
        <w:t>П</w:t>
      </w:r>
      <w:r w:rsidR="00D97F0B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766299">
        <w:rPr>
          <w:rFonts w:ascii="Times New Roman" w:eastAsia="Times New Roman" w:hAnsi="Times New Roman" w:cs="Times New Roman"/>
        </w:rPr>
        <w:t>.</w:t>
      </w:r>
    </w:p>
    <w:p w:rsidR="007203E8" w:rsidRPr="0076629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 </w:t>
      </w:r>
      <w:r w:rsidRPr="00766299">
        <w:rPr>
          <w:rFonts w:ascii="Times New Roman" w:hAnsi="Times New Roman" w:cs="Times New Roman"/>
        </w:rPr>
        <w:t>«__» ____________ 20__ г.</w:t>
      </w: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C13212" w:rsidRPr="0076629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76629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76629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76629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76629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76629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766299">
        <w:rPr>
          <w:rFonts w:ascii="Times New Roman" w:eastAsia="Times New Roman" w:hAnsi="Times New Roman" w:cs="Times New Roman"/>
          <w:i/>
        </w:rPr>
        <w:t xml:space="preserve">        </w:t>
      </w:r>
      <w:r w:rsidRPr="0076629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76629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76629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 xml:space="preserve"> 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76629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76629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6629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29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DA" w:rsidRDefault="002913DA">
      <w:pPr>
        <w:spacing w:line="240" w:lineRule="auto"/>
      </w:pPr>
      <w:r>
        <w:separator/>
      </w:r>
    </w:p>
  </w:endnote>
  <w:endnote w:type="continuationSeparator" w:id="0">
    <w:p w:rsidR="002913DA" w:rsidRDefault="00291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96092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AD6F22" w:rsidRDefault="00C42C6D">
    <w:pPr>
      <w:pStyle w:val="af9"/>
      <w:jc w:val="right"/>
      <w:rPr>
        <w:rFonts w:ascii="Times New Roman" w:hAnsi="Times New Roman"/>
        <w:sz w:val="20"/>
        <w:szCs w:val="20"/>
      </w:rPr>
    </w:pPr>
  </w:p>
  <w:p w:rsidR="00C42C6D" w:rsidRPr="00E46B71" w:rsidRDefault="00C42C6D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DA" w:rsidRDefault="002913DA">
      <w:pPr>
        <w:spacing w:line="240" w:lineRule="auto"/>
      </w:pPr>
      <w:r>
        <w:separator/>
      </w:r>
    </w:p>
  </w:footnote>
  <w:footnote w:type="continuationSeparator" w:id="0">
    <w:p w:rsidR="002913DA" w:rsidRDefault="002913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9609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9609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C42C6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42C6D" w:rsidRDefault="00C42C6D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Default="00C42C6D">
    <w:pPr>
      <w:pStyle w:val="af7"/>
      <w:jc w:val="center"/>
    </w:pPr>
  </w:p>
  <w:p w:rsidR="00C42C6D" w:rsidRPr="002F4C90" w:rsidRDefault="00C42C6D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D" w:rsidRPr="002F4C90" w:rsidRDefault="00C42C6D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17C7D"/>
    <w:rsid w:val="00031F8A"/>
    <w:rsid w:val="000331EB"/>
    <w:rsid w:val="0003449B"/>
    <w:rsid w:val="0004056D"/>
    <w:rsid w:val="0005129D"/>
    <w:rsid w:val="00063548"/>
    <w:rsid w:val="00071B44"/>
    <w:rsid w:val="00082ED6"/>
    <w:rsid w:val="000A18D4"/>
    <w:rsid w:val="000A26AE"/>
    <w:rsid w:val="000B453B"/>
    <w:rsid w:val="000B4B50"/>
    <w:rsid w:val="000C31D6"/>
    <w:rsid w:val="000D0754"/>
    <w:rsid w:val="000D33E8"/>
    <w:rsid w:val="000E0C9D"/>
    <w:rsid w:val="000F1697"/>
    <w:rsid w:val="000F225C"/>
    <w:rsid w:val="000F5161"/>
    <w:rsid w:val="000F663D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0CA2"/>
    <w:rsid w:val="00176B78"/>
    <w:rsid w:val="00176D08"/>
    <w:rsid w:val="001828F9"/>
    <w:rsid w:val="00182A7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2627"/>
    <w:rsid w:val="002632A9"/>
    <w:rsid w:val="00264F41"/>
    <w:rsid w:val="0026748F"/>
    <w:rsid w:val="002706C1"/>
    <w:rsid w:val="00277102"/>
    <w:rsid w:val="00283EA9"/>
    <w:rsid w:val="0028732C"/>
    <w:rsid w:val="002913DA"/>
    <w:rsid w:val="002960B0"/>
    <w:rsid w:val="002A3AAA"/>
    <w:rsid w:val="002B08AF"/>
    <w:rsid w:val="002B0BF3"/>
    <w:rsid w:val="002B7A5E"/>
    <w:rsid w:val="002C04FC"/>
    <w:rsid w:val="002C359F"/>
    <w:rsid w:val="002C520A"/>
    <w:rsid w:val="002C594A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3878"/>
    <w:rsid w:val="00336497"/>
    <w:rsid w:val="00336735"/>
    <w:rsid w:val="00343E96"/>
    <w:rsid w:val="00344D57"/>
    <w:rsid w:val="00352CC5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F3145"/>
    <w:rsid w:val="003F6DA7"/>
    <w:rsid w:val="004024F5"/>
    <w:rsid w:val="004027A1"/>
    <w:rsid w:val="004028C6"/>
    <w:rsid w:val="0042405F"/>
    <w:rsid w:val="004304DC"/>
    <w:rsid w:val="004455EB"/>
    <w:rsid w:val="00450786"/>
    <w:rsid w:val="00451F5B"/>
    <w:rsid w:val="00460967"/>
    <w:rsid w:val="004636B3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4F4232"/>
    <w:rsid w:val="00501461"/>
    <w:rsid w:val="005112E9"/>
    <w:rsid w:val="00522918"/>
    <w:rsid w:val="00531B48"/>
    <w:rsid w:val="00536EF7"/>
    <w:rsid w:val="00595ACE"/>
    <w:rsid w:val="00596A9D"/>
    <w:rsid w:val="005A1BAB"/>
    <w:rsid w:val="005B2C47"/>
    <w:rsid w:val="005B748B"/>
    <w:rsid w:val="005C3650"/>
    <w:rsid w:val="005D3E68"/>
    <w:rsid w:val="005D688C"/>
    <w:rsid w:val="005E40C3"/>
    <w:rsid w:val="005E72F5"/>
    <w:rsid w:val="005F3F2E"/>
    <w:rsid w:val="006027F1"/>
    <w:rsid w:val="00603A37"/>
    <w:rsid w:val="00603AF4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77A00"/>
    <w:rsid w:val="00680D4E"/>
    <w:rsid w:val="00686AA3"/>
    <w:rsid w:val="00687D65"/>
    <w:rsid w:val="006A2175"/>
    <w:rsid w:val="006B19D7"/>
    <w:rsid w:val="006B2248"/>
    <w:rsid w:val="006B3A05"/>
    <w:rsid w:val="006B3AD7"/>
    <w:rsid w:val="006C04FB"/>
    <w:rsid w:val="006C0F7D"/>
    <w:rsid w:val="006C5652"/>
    <w:rsid w:val="006C60E7"/>
    <w:rsid w:val="006D49F7"/>
    <w:rsid w:val="006E7026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299"/>
    <w:rsid w:val="00766584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35555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1D5"/>
    <w:rsid w:val="008A5848"/>
    <w:rsid w:val="008A7DAD"/>
    <w:rsid w:val="008B1739"/>
    <w:rsid w:val="008B452B"/>
    <w:rsid w:val="008D06B2"/>
    <w:rsid w:val="008D493E"/>
    <w:rsid w:val="008D4C83"/>
    <w:rsid w:val="008E61A0"/>
    <w:rsid w:val="009028AC"/>
    <w:rsid w:val="00902FBC"/>
    <w:rsid w:val="009057F7"/>
    <w:rsid w:val="00905A37"/>
    <w:rsid w:val="00913699"/>
    <w:rsid w:val="00921129"/>
    <w:rsid w:val="00923798"/>
    <w:rsid w:val="0092615A"/>
    <w:rsid w:val="0093430F"/>
    <w:rsid w:val="009520DA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C11B2"/>
    <w:rsid w:val="009D59F7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37A71"/>
    <w:rsid w:val="00A52413"/>
    <w:rsid w:val="00A53804"/>
    <w:rsid w:val="00A54388"/>
    <w:rsid w:val="00A566E8"/>
    <w:rsid w:val="00A61C2F"/>
    <w:rsid w:val="00A622F3"/>
    <w:rsid w:val="00A63E43"/>
    <w:rsid w:val="00A87C9D"/>
    <w:rsid w:val="00A87F27"/>
    <w:rsid w:val="00A91A43"/>
    <w:rsid w:val="00A92554"/>
    <w:rsid w:val="00A946A2"/>
    <w:rsid w:val="00A95D91"/>
    <w:rsid w:val="00A97326"/>
    <w:rsid w:val="00AA25F5"/>
    <w:rsid w:val="00AA37F8"/>
    <w:rsid w:val="00AA748C"/>
    <w:rsid w:val="00AB1FFC"/>
    <w:rsid w:val="00AC37CE"/>
    <w:rsid w:val="00AD6F22"/>
    <w:rsid w:val="00AE0B1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A1A17"/>
    <w:rsid w:val="00BB030F"/>
    <w:rsid w:val="00BD218F"/>
    <w:rsid w:val="00BD3690"/>
    <w:rsid w:val="00BD74E0"/>
    <w:rsid w:val="00BE0052"/>
    <w:rsid w:val="00BE69E1"/>
    <w:rsid w:val="00BF1C3B"/>
    <w:rsid w:val="00BF2C36"/>
    <w:rsid w:val="00BF45D2"/>
    <w:rsid w:val="00BF52E8"/>
    <w:rsid w:val="00C01749"/>
    <w:rsid w:val="00C02610"/>
    <w:rsid w:val="00C028AA"/>
    <w:rsid w:val="00C1098E"/>
    <w:rsid w:val="00C13212"/>
    <w:rsid w:val="00C14E65"/>
    <w:rsid w:val="00C151F2"/>
    <w:rsid w:val="00C2100D"/>
    <w:rsid w:val="00C21206"/>
    <w:rsid w:val="00C332F9"/>
    <w:rsid w:val="00C42C6D"/>
    <w:rsid w:val="00C507C7"/>
    <w:rsid w:val="00C529F3"/>
    <w:rsid w:val="00C52E31"/>
    <w:rsid w:val="00C65FFE"/>
    <w:rsid w:val="00C73892"/>
    <w:rsid w:val="00C73C90"/>
    <w:rsid w:val="00C73DAE"/>
    <w:rsid w:val="00C959ED"/>
    <w:rsid w:val="00C96092"/>
    <w:rsid w:val="00C96EF7"/>
    <w:rsid w:val="00CB27B5"/>
    <w:rsid w:val="00CD0DC3"/>
    <w:rsid w:val="00CD5902"/>
    <w:rsid w:val="00CF0D2B"/>
    <w:rsid w:val="00D12513"/>
    <w:rsid w:val="00D13603"/>
    <w:rsid w:val="00D17C99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F0B"/>
    <w:rsid w:val="00DB1556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443C"/>
    <w:rsid w:val="00E5670D"/>
    <w:rsid w:val="00E66AEF"/>
    <w:rsid w:val="00E74F58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182A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  <w:style w:type="paragraph" w:customStyle="1" w:styleId="dt-p">
    <w:name w:val="dt-p"/>
    <w:basedOn w:val="a"/>
    <w:rsid w:val="00E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E74F58"/>
  </w:style>
  <w:style w:type="paragraph" w:customStyle="1" w:styleId="ConsPlusTitle">
    <w:name w:val="ConsPlusTitle"/>
    <w:uiPriority w:val="99"/>
    <w:rsid w:val="0083555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8355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835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analiz.docx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analiz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ownloads\analiz.doc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analiz.docx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9381C-BBE7-4498-AC28-83160345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49557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5</cp:revision>
  <cp:lastPrinted>2017-06-09T11:47:00Z</cp:lastPrinted>
  <dcterms:created xsi:type="dcterms:W3CDTF">2019-12-11T07:55:00Z</dcterms:created>
  <dcterms:modified xsi:type="dcterms:W3CDTF">2019-12-17T07:01:00Z</dcterms:modified>
</cp:coreProperties>
</file>